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left"/>
      </w:pPr>
      <w:r>
        <w:rPr>
          <w:rFonts w:ascii="Calibri" w:hAnsi="Calibri"/>
          <w:b/>
          <w:color w:val="0B2545"/>
          <w:sz w:val="48"/>
        </w:rPr>
        <w:t>AI Ethics &amp; Safety</w:t>
      </w:r>
    </w:p>
    <w:p>
      <w:pPr>
        <w:spacing w:after="320"/>
      </w:pPr>
      <w:r>
        <w:rPr>
          <w:rFonts w:ascii="Calibri" w:hAnsi="Calibri"/>
          <w:b w:val="0"/>
          <w:color w:val="666666"/>
          <w:sz w:val="20"/>
        </w:rPr>
        <w:t>Last updated: 19 July 2026</w:t>
      </w:r>
    </w:p>
    <w:p>
      <w:pPr>
        <w:pStyle w:val="Heading1"/>
      </w:pPr>
      <w:r>
        <w:t>1. Our approach to AI</w:t>
      </w:r>
    </w:p>
    <w:p>
      <w:pPr>
        <w:spacing w:after="120" w:line="264" w:lineRule="auto"/>
      </w:pPr>
      <w:r>
        <w:rPr>
          <w:rFonts w:ascii="Calibri" w:hAnsi="Calibri"/>
          <w:b w:val="0"/>
          <w:sz w:val="22"/>
        </w:rPr>
        <w:t>HRnexus AI helps businesses and professionals use technology, HR knowledge and practical training more confidently. Artificial intelligence may support parts of our work, but it does not replace professional judgement, human responsibility or client-specific decision-making.</w:t>
      </w:r>
    </w:p>
    <w:p>
      <w:pPr>
        <w:spacing w:after="120" w:line="264" w:lineRule="auto"/>
      </w:pPr>
      <w:r>
        <w:rPr>
          <w:rFonts w:ascii="Calibri" w:hAnsi="Calibri"/>
          <w:b w:val="0"/>
          <w:sz w:val="22"/>
        </w:rPr>
        <w:t>This page explains how we approach AI responsibly across our general website, services, training and resources.</w:t>
      </w:r>
    </w:p>
    <w:p>
      <w:pPr>
        <w:pStyle w:val="Heading1"/>
      </w:pPr>
      <w:r>
        <w:t>2. How we may use AI</w:t>
      </w:r>
    </w:p>
    <w:p>
      <w:pPr>
        <w:spacing w:after="120" w:line="264" w:lineRule="auto"/>
      </w:pPr>
      <w:r>
        <w:rPr>
          <w:rFonts w:ascii="Calibri" w:hAnsi="Calibri"/>
          <w:b w:val="0"/>
          <w:sz w:val="22"/>
        </w:rPr>
        <w:t>We may use AI tools to support:</w:t>
      </w:r>
    </w:p>
    <w:p>
      <w:pPr>
        <w:pStyle w:val="ListBullet"/>
      </w:pPr>
      <w:r>
        <w:rPr>
          <w:rFonts w:ascii="Calibri" w:hAnsi="Calibri"/>
          <w:b w:val="0"/>
          <w:sz w:val="22"/>
        </w:rPr>
        <w:t>Research, planning and drafting of general educational content.</w:t>
      </w:r>
    </w:p>
    <w:p>
      <w:pPr>
        <w:pStyle w:val="ListBullet"/>
      </w:pPr>
      <w:r>
        <w:rPr>
          <w:rFonts w:ascii="Calibri" w:hAnsi="Calibri"/>
          <w:b w:val="0"/>
          <w:sz w:val="22"/>
        </w:rPr>
        <w:t>Training design, learning resources and practical examples.</w:t>
      </w:r>
    </w:p>
    <w:p>
      <w:pPr>
        <w:pStyle w:val="ListBullet"/>
      </w:pPr>
      <w:r>
        <w:rPr>
          <w:rFonts w:ascii="Calibri" w:hAnsi="Calibri"/>
          <w:b w:val="0"/>
          <w:sz w:val="22"/>
        </w:rPr>
        <w:t>Internal admin, organisation and productivity.</w:t>
      </w:r>
    </w:p>
    <w:p>
      <w:pPr>
        <w:pStyle w:val="ListBullet"/>
      </w:pPr>
      <w:r>
        <w:rPr>
          <w:rFonts w:ascii="Calibri" w:hAnsi="Calibri"/>
          <w:b w:val="0"/>
          <w:sz w:val="22"/>
        </w:rPr>
        <w:t>Idea generation, document structure and quality review.</w:t>
      </w:r>
    </w:p>
    <w:p>
      <w:pPr>
        <w:pStyle w:val="ListBullet"/>
      </w:pPr>
      <w:r>
        <w:rPr>
          <w:rFonts w:ascii="Calibri" w:hAnsi="Calibri"/>
          <w:b w:val="0"/>
          <w:sz w:val="22"/>
        </w:rPr>
        <w:t>Responsible AI training and workplace AI adoption support.</w:t>
      </w:r>
    </w:p>
    <w:p>
      <w:pPr>
        <w:spacing w:after="120" w:line="264" w:lineRule="auto"/>
      </w:pPr>
      <w:r>
        <w:rPr>
          <w:rFonts w:ascii="Calibri" w:hAnsi="Calibri"/>
          <w:b w:val="0"/>
          <w:sz w:val="22"/>
        </w:rPr>
        <w:t>AI may help us work more efficiently, but human review remains central to our client-facing work.</w:t>
      </w:r>
    </w:p>
    <w:p>
      <w:pPr>
        <w:pStyle w:val="Heading1"/>
      </w:pPr>
      <w:r>
        <w:t>3. Human oversight</w:t>
      </w:r>
    </w:p>
    <w:p>
      <w:pPr>
        <w:spacing w:after="120" w:line="264" w:lineRule="auto"/>
      </w:pPr>
      <w:r>
        <w:rPr>
          <w:rFonts w:ascii="Calibri" w:hAnsi="Calibri"/>
          <w:b w:val="0"/>
          <w:sz w:val="22"/>
        </w:rPr>
        <w:t>HRnexus AI does not use AI to make final HR, employment, payroll, legal, recruitment, disciplinary, dismissal or similarly significant decisions about individuals.</w:t>
      </w:r>
    </w:p>
    <w:p>
      <w:pPr>
        <w:spacing w:after="120" w:line="264" w:lineRule="auto"/>
      </w:pPr>
      <w:r>
        <w:rPr>
          <w:rFonts w:ascii="Calibri" w:hAnsi="Calibri"/>
          <w:b w:val="0"/>
          <w:sz w:val="22"/>
        </w:rPr>
        <w:t>Where AI supports drafting, analysis or training materials, a human remains responsible for reviewing the output before it is used in a client-facing or business-critical context.</w:t>
      </w:r>
    </w:p>
    <w:p>
      <w:pPr>
        <w:pStyle w:val="Heading1"/>
      </w:pPr>
      <w:r>
        <w:t>4. Privacy and confidentiality</w:t>
      </w:r>
    </w:p>
    <w:p>
      <w:pPr>
        <w:spacing w:after="120" w:line="264" w:lineRule="auto"/>
      </w:pPr>
      <w:r>
        <w:rPr>
          <w:rFonts w:ascii="Calibri" w:hAnsi="Calibri"/>
          <w:b w:val="0"/>
          <w:sz w:val="22"/>
        </w:rPr>
        <w:t>We take privacy seriously when using AI tools.</w:t>
      </w:r>
    </w:p>
    <w:p>
      <w:pPr>
        <w:spacing w:after="120" w:line="264" w:lineRule="auto"/>
      </w:pPr>
      <w:r>
        <w:rPr>
          <w:rFonts w:ascii="Calibri" w:hAnsi="Calibri"/>
          <w:b w:val="0"/>
          <w:sz w:val="22"/>
        </w:rPr>
        <w:t>Our approach includes:</w:t>
      </w:r>
    </w:p>
    <w:p>
      <w:pPr>
        <w:pStyle w:val="ListBullet"/>
      </w:pPr>
      <w:r>
        <w:rPr>
          <w:rFonts w:ascii="Calibri" w:hAnsi="Calibri"/>
          <w:b w:val="0"/>
          <w:sz w:val="22"/>
        </w:rPr>
        <w:t>Avoiding unnecessary personal, sensitive or confidential data in AI tools.</w:t>
      </w:r>
    </w:p>
    <w:p>
      <w:pPr>
        <w:pStyle w:val="ListBullet"/>
      </w:pPr>
      <w:r>
        <w:rPr>
          <w:rFonts w:ascii="Calibri" w:hAnsi="Calibri"/>
          <w:b w:val="0"/>
          <w:sz w:val="22"/>
        </w:rPr>
        <w:t>Using only the minimum information needed for the task.</w:t>
      </w:r>
    </w:p>
    <w:p>
      <w:pPr>
        <w:pStyle w:val="ListBullet"/>
      </w:pPr>
      <w:r>
        <w:rPr>
          <w:rFonts w:ascii="Calibri" w:hAnsi="Calibri"/>
          <w:b w:val="0"/>
          <w:sz w:val="22"/>
        </w:rPr>
        <w:t>Reviewing AI outputs for accuracy, fairness and relevance.</w:t>
      </w:r>
    </w:p>
    <w:p>
      <w:pPr>
        <w:pStyle w:val="ListBullet"/>
      </w:pPr>
      <w:r>
        <w:rPr>
          <w:rFonts w:ascii="Calibri" w:hAnsi="Calibri"/>
          <w:b w:val="0"/>
          <w:sz w:val="22"/>
        </w:rPr>
        <w:t>Respecting client confidentiality and data protection obligations.</w:t>
      </w:r>
    </w:p>
    <w:p>
      <w:pPr>
        <w:pStyle w:val="ListBullet"/>
      </w:pPr>
      <w:r>
        <w:rPr>
          <w:rFonts w:ascii="Calibri" w:hAnsi="Calibri"/>
          <w:b w:val="0"/>
          <w:sz w:val="22"/>
        </w:rPr>
        <w:t>Being careful with documents, case examples and employee-related information.</w:t>
      </w:r>
    </w:p>
    <w:p>
      <w:pPr>
        <w:spacing w:after="120" w:line="264" w:lineRule="auto"/>
      </w:pPr>
      <w:r>
        <w:rPr>
          <w:rFonts w:ascii="Calibri" w:hAnsi="Calibri"/>
          <w:b w:val="0"/>
          <w:sz w:val="22"/>
        </w:rPr>
        <w:t>If a specific client project requires AI-supported processing of sensitive or confidential information, this should be handled under agreed client terms and appropriate safeguards.</w:t>
      </w:r>
    </w:p>
    <w:p>
      <w:pPr>
        <w:pStyle w:val="Heading1"/>
      </w:pPr>
      <w:r>
        <w:t>5. Responsible AI principles</w:t>
      </w:r>
    </w:p>
    <w:p>
      <w:pPr>
        <w:spacing w:after="120" w:line="264" w:lineRule="auto"/>
      </w:pPr>
      <w:r>
        <w:rPr>
          <w:rFonts w:ascii="Calibri" w:hAnsi="Calibri"/>
          <w:b w:val="0"/>
          <w:sz w:val="22"/>
        </w:rPr>
        <w:t>Our AI work is guided by the following principles:</w:t>
      </w:r>
    </w:p>
    <w:p>
      <w:pPr>
        <w:spacing w:after="120" w:line="264" w:lineRule="auto"/>
      </w:pPr>
      <w:r>
        <w:rPr>
          <w:rFonts w:ascii="Calibri" w:hAnsi="Calibri"/>
          <w:b w:val="0"/>
          <w:sz w:val="22"/>
        </w:rPr>
        <w:t>Transparency: We aim to be clear where AI is materially used to support content, training or service delivery.</w:t>
      </w:r>
    </w:p>
    <w:p>
      <w:pPr>
        <w:spacing w:after="120" w:line="264" w:lineRule="auto"/>
      </w:pPr>
      <w:r>
        <w:rPr>
          <w:rFonts w:ascii="Calibri" w:hAnsi="Calibri"/>
          <w:b w:val="0"/>
          <w:sz w:val="22"/>
        </w:rPr>
        <w:t>Human judgement: AI supports people. It does not replace qualified professional judgement.</w:t>
      </w:r>
    </w:p>
    <w:p>
      <w:pPr>
        <w:spacing w:after="120" w:line="264" w:lineRule="auto"/>
      </w:pPr>
      <w:r>
        <w:rPr>
          <w:rFonts w:ascii="Calibri" w:hAnsi="Calibri"/>
          <w:b w:val="0"/>
          <w:sz w:val="22"/>
        </w:rPr>
        <w:t>Privacy: We limit the personal data used with AI tools and apply data protection principles.</w:t>
      </w:r>
    </w:p>
    <w:p>
      <w:pPr>
        <w:spacing w:after="120" w:line="264" w:lineRule="auto"/>
      </w:pPr>
      <w:r>
        <w:rPr>
          <w:rFonts w:ascii="Calibri" w:hAnsi="Calibri"/>
          <w:b w:val="0"/>
          <w:sz w:val="22"/>
        </w:rPr>
        <w:t>Fairness: We aim to avoid biased, discriminatory or misleading AI-supported outputs.</w:t>
      </w:r>
    </w:p>
    <w:p>
      <w:pPr>
        <w:spacing w:after="120" w:line="264" w:lineRule="auto"/>
      </w:pPr>
      <w:r>
        <w:rPr>
          <w:rFonts w:ascii="Calibri" w:hAnsi="Calibri"/>
          <w:b w:val="0"/>
          <w:sz w:val="22"/>
        </w:rPr>
        <w:t>Accuracy: AI can be wrong. We review important outputs before relying on them.</w:t>
      </w:r>
    </w:p>
    <w:p>
      <w:pPr>
        <w:spacing w:after="120" w:line="264" w:lineRule="auto"/>
      </w:pPr>
      <w:r>
        <w:rPr>
          <w:rFonts w:ascii="Calibri" w:hAnsi="Calibri"/>
          <w:b w:val="0"/>
          <w:sz w:val="22"/>
        </w:rPr>
        <w:t>Accountability: A human remains accountable for the services, training and resources we provide.</w:t>
      </w:r>
    </w:p>
    <w:p>
      <w:pPr>
        <w:pStyle w:val="Heading1"/>
      </w:pPr>
      <w:r>
        <w:t>6. AI and professional advice</w:t>
      </w:r>
    </w:p>
    <w:p>
      <w:pPr>
        <w:spacing w:after="120" w:line="264" w:lineRule="auto"/>
      </w:pPr>
      <w:r>
        <w:rPr>
          <w:rFonts w:ascii="Calibri" w:hAnsi="Calibri"/>
          <w:b w:val="0"/>
          <w:sz w:val="22"/>
        </w:rPr>
        <w:t>AI-generated content is not legal, HR, payroll, tax or employment advice on its own.</w:t>
      </w:r>
    </w:p>
    <w:p>
      <w:pPr>
        <w:spacing w:after="120" w:line="264" w:lineRule="auto"/>
      </w:pPr>
      <w:r>
        <w:rPr>
          <w:rFonts w:ascii="Calibri" w:hAnsi="Calibri"/>
          <w:b w:val="0"/>
          <w:sz w:val="22"/>
        </w:rPr>
        <w:t>Any advice or recommendation for a specific business or individual situation should be reviewed in context by a suitable human professional.</w:t>
      </w:r>
    </w:p>
    <w:p>
      <w:pPr>
        <w:pStyle w:val="Heading1"/>
      </w:pPr>
      <w:r>
        <w:t>7. Reporting AI concerns</w:t>
      </w:r>
    </w:p>
    <w:p>
      <w:pPr>
        <w:spacing w:after="120" w:line="264" w:lineRule="auto"/>
      </w:pPr>
      <w:r>
        <w:rPr>
          <w:rFonts w:ascii="Calibri" w:hAnsi="Calibri"/>
          <w:b w:val="0"/>
          <w:sz w:val="22"/>
        </w:rPr>
        <w:t>If you have a concern about AI-supported content, training or service delivery from HRnexus AI, please contact us.</w:t>
      </w:r>
    </w:p>
    <w:p>
      <w:pPr>
        <w:spacing w:after="120" w:line="264" w:lineRule="auto"/>
      </w:pPr>
      <w:r>
        <w:rPr>
          <w:rFonts w:ascii="Calibri" w:hAnsi="Calibri"/>
          <w:b w:val="0"/>
          <w:sz w:val="22"/>
        </w:rPr>
        <w:t>Email: info@hrnexus.ai</w:t>
      </w:r>
    </w:p>
    <w:p>
      <w:pPr>
        <w:spacing w:after="120" w:line="264" w:lineRule="auto"/>
      </w:pPr>
      <w:r>
        <w:rPr>
          <w:rFonts w:ascii="Calibri" w:hAnsi="Calibri"/>
          <w:b w:val="0"/>
          <w:sz w:val="22"/>
        </w:rPr>
        <w:t>Suggested subject line: AI Concern - HRnexus AI</w:t>
      </w:r>
    </w:p>
    <w:p>
      <w:pPr>
        <w:spacing w:after="120" w:line="264" w:lineRule="auto"/>
      </w:pPr>
      <w:r>
        <w:rPr>
          <w:rFonts w:ascii="Calibri" w:hAnsi="Calibri"/>
          <w:b w:val="0"/>
          <w:sz w:val="22"/>
        </w:rPr>
        <w:t>We will review the concern and take appropriate action where needed.</w:t>
      </w:r>
    </w:p>
    <w:p>
      <w:pPr>
        <w:pStyle w:val="Heading1"/>
      </w:pPr>
      <w:r>
        <w:t>8. Updates</w:t>
      </w:r>
    </w:p>
    <w:p>
      <w:pPr>
        <w:spacing w:after="120" w:line="264" w:lineRule="auto"/>
      </w:pPr>
      <w:r>
        <w:rPr>
          <w:rFonts w:ascii="Calibri" w:hAnsi="Calibri"/>
          <w:b w:val="0"/>
          <w:sz w:val="22"/>
        </w:rPr>
        <w:t>AI tools and regulation change quickly. We may update this page as our services, tools and best practices develop.</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color w:val="666666"/>
        <w:sz w:val="18"/>
      </w:rPr>
      <w:t>Last updated: 19 July 2026 | www.hrnexus.ai | info@hrnexus.ai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val="0"/>
        <w:color w:val="666666"/>
        <w:sz w:val="18"/>
      </w:rPr>
      <w:t>HRnexus AI - AI Ethics &amp; Safety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64"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64"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64"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2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