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left"/>
      </w:pPr>
      <w:r>
        <w:rPr>
          <w:rFonts w:ascii="Calibri" w:hAnsi="Calibri"/>
          <w:b/>
          <w:color w:val="0B2545"/>
          <w:sz w:val="48"/>
        </w:rPr>
        <w:t>Privacy Policy</w:t>
      </w:r>
    </w:p>
    <w:p>
      <w:pPr>
        <w:spacing w:after="320"/>
      </w:pPr>
      <w:r>
        <w:rPr>
          <w:rFonts w:ascii="Calibri" w:hAnsi="Calibri"/>
          <w:b w:val="0"/>
          <w:color w:val="666666"/>
          <w:sz w:val="20"/>
        </w:rPr>
        <w:t>Last updated: 19 July 2026</w:t>
      </w:r>
    </w:p>
    <w:p>
      <w:pPr>
        <w:pStyle w:val="Heading1"/>
      </w:pPr>
      <w:r>
        <w:t>1. Who we are</w:t>
      </w:r>
    </w:p>
    <w:p>
      <w:pPr>
        <w:spacing w:after="120" w:line="264" w:lineRule="auto"/>
      </w:pPr>
      <w:r>
        <w:rPr>
          <w:rFonts w:ascii="Calibri" w:hAnsi="Calibri"/>
          <w:b w:val="0"/>
          <w:sz w:val="22"/>
        </w:rPr>
        <w:t>This Privacy Policy explains how HRnexus AI ("we", "us", "our") collects, uses and protects your personal data when you use our website, contact us, book a consultation, enquire about services or training, or otherwise interact with us.</w:t>
      </w:r>
    </w:p>
    <w:p>
      <w:pPr>
        <w:spacing w:after="120" w:line="264" w:lineRule="auto"/>
      </w:pPr>
      <w:r>
        <w:rPr>
          <w:rFonts w:ascii="Calibri" w:hAnsi="Calibri"/>
          <w:b w:val="0"/>
          <w:sz w:val="22"/>
        </w:rPr>
        <w:t>Data Controller: HRnexus AI, operated by Oksana Logvynenko, Somerset, United Kingdom.</w:t>
      </w:r>
    </w:p>
    <w:p>
      <w:pPr>
        <w:spacing w:after="120" w:line="264" w:lineRule="auto"/>
      </w:pPr>
      <w:r>
        <w:rPr>
          <w:rFonts w:ascii="Calibri" w:hAnsi="Calibri"/>
          <w:b w:val="0"/>
          <w:sz w:val="22"/>
        </w:rPr>
        <w:t>Website: www.hrnexus.ai</w:t>
      </w:r>
    </w:p>
    <w:p>
      <w:pPr>
        <w:spacing w:after="120" w:line="264" w:lineRule="auto"/>
      </w:pPr>
      <w:r>
        <w:rPr>
          <w:rFonts w:ascii="Calibri" w:hAnsi="Calibri"/>
          <w:b w:val="0"/>
          <w:sz w:val="22"/>
        </w:rPr>
        <w:t>Contact: info@hrnexus.ai</w:t>
      </w:r>
    </w:p>
    <w:p>
      <w:pPr>
        <w:spacing w:after="120" w:line="264" w:lineRule="auto"/>
      </w:pPr>
      <w:r>
        <w:rPr>
          <w:rFonts w:ascii="Calibri" w:hAnsi="Calibri"/>
          <w:b w:val="0"/>
          <w:sz w:val="22"/>
        </w:rPr>
        <w:t>ICO Registration: ZB962897</w:t>
      </w:r>
    </w:p>
    <w:p>
      <w:pPr>
        <w:spacing w:after="120" w:line="264" w:lineRule="auto"/>
      </w:pPr>
      <w:r>
        <w:rPr>
          <w:rFonts w:ascii="Calibri" w:hAnsi="Calibri"/>
          <w:b w:val="0"/>
          <w:sz w:val="22"/>
        </w:rPr>
        <w:t>This policy applies to the general HRnexus AI website and services. If you use a separate learning platform, course portal or EduHub product, additional platform-specific terms or privacy information may also apply.</w:t>
      </w:r>
    </w:p>
    <w:p>
      <w:pPr>
        <w:pStyle w:val="Heading1"/>
      </w:pPr>
      <w:r>
        <w:t>2. What personal data we collect</w:t>
      </w:r>
    </w:p>
    <w:p>
      <w:pPr>
        <w:spacing w:after="120" w:line="264" w:lineRule="auto"/>
      </w:pPr>
      <w:r>
        <w:rPr>
          <w:rFonts w:ascii="Calibri" w:hAnsi="Calibri"/>
          <w:b w:val="0"/>
          <w:sz w:val="22"/>
        </w:rPr>
        <w:t>We may collect the following information:</w:t>
      </w:r>
    </w:p>
    <w:p>
      <w:pPr>
        <w:pStyle w:val="ListBullet"/>
      </w:pPr>
      <w:r>
        <w:rPr>
          <w:rFonts w:ascii="Calibri" w:hAnsi="Calibri"/>
          <w:b w:val="0"/>
          <w:sz w:val="22"/>
        </w:rPr>
        <w:t>Name, email address, phone number and contact details.</w:t>
      </w:r>
    </w:p>
    <w:p>
      <w:pPr>
        <w:pStyle w:val="ListBullet"/>
      </w:pPr>
      <w:r>
        <w:rPr>
          <w:rFonts w:ascii="Calibri" w:hAnsi="Calibri"/>
          <w:b w:val="0"/>
          <w:sz w:val="22"/>
        </w:rPr>
        <w:t>Job title, company name, sector or professional background, where you choose to provide this.</w:t>
      </w:r>
    </w:p>
    <w:p>
      <w:pPr>
        <w:pStyle w:val="ListBullet"/>
      </w:pPr>
      <w:r>
        <w:rPr>
          <w:rFonts w:ascii="Calibri" w:hAnsi="Calibri"/>
          <w:b w:val="0"/>
          <w:sz w:val="22"/>
        </w:rPr>
        <w:t>Information you submit through contact forms, booking forms, chat, email, consultation requests or training enquiries.</w:t>
      </w:r>
    </w:p>
    <w:p>
      <w:pPr>
        <w:pStyle w:val="ListBullet"/>
      </w:pPr>
      <w:r>
        <w:rPr>
          <w:rFonts w:ascii="Calibri" w:hAnsi="Calibri"/>
          <w:b w:val="0"/>
          <w:sz w:val="22"/>
        </w:rPr>
        <w:t>Booking details, including preferred dates, service type, session notes and attendance information.</w:t>
      </w:r>
    </w:p>
    <w:p>
      <w:pPr>
        <w:pStyle w:val="ListBullet"/>
      </w:pPr>
      <w:r>
        <w:rPr>
          <w:rFonts w:ascii="Calibri" w:hAnsi="Calibri"/>
          <w:b w:val="0"/>
          <w:sz w:val="22"/>
        </w:rPr>
        <w:t>Payment, billing and invoice information when you purchase a paid service. Card details are processed securely by our payment provider and are not stored by us.</w:t>
      </w:r>
    </w:p>
    <w:p>
      <w:pPr>
        <w:pStyle w:val="ListBullet"/>
      </w:pPr>
      <w:r>
        <w:rPr>
          <w:rFonts w:ascii="Calibri" w:hAnsi="Calibri"/>
          <w:b w:val="0"/>
          <w:sz w:val="22"/>
        </w:rPr>
        <w:t>Marketing preferences, such as newsletter sign-up or event/course updates.</w:t>
      </w:r>
    </w:p>
    <w:p>
      <w:pPr>
        <w:pStyle w:val="ListBullet"/>
      </w:pPr>
      <w:r>
        <w:rPr>
          <w:rFonts w:ascii="Calibri" w:hAnsi="Calibri"/>
          <w:b w:val="0"/>
          <w:sz w:val="22"/>
        </w:rPr>
        <w:t>Technical data, including IP address, browser type, device type, pages visited, referral source and cookie preferences.</w:t>
      </w:r>
    </w:p>
    <w:p>
      <w:pPr>
        <w:spacing w:after="120" w:line="264" w:lineRule="auto"/>
      </w:pPr>
      <w:r>
        <w:rPr>
          <w:rFonts w:ascii="Calibri" w:hAnsi="Calibri"/>
          <w:b w:val="0"/>
          <w:sz w:val="22"/>
        </w:rPr>
        <w:t>We only ask for information that is relevant to the service, enquiry or interaction.</w:t>
      </w:r>
    </w:p>
    <w:p>
      <w:pPr>
        <w:pStyle w:val="Heading1"/>
      </w:pPr>
      <w:r>
        <w:t>3. How we use your data</w:t>
      </w:r>
    </w:p>
    <w:p>
      <w:pPr>
        <w:spacing w:after="120" w:line="264" w:lineRule="auto"/>
      </w:pPr>
      <w:r>
        <w:rPr>
          <w:rFonts w:ascii="Calibri" w:hAnsi="Calibri"/>
          <w:b w:val="0"/>
          <w:sz w:val="22"/>
        </w:rPr>
        <w:t>We use personal data to:</w:t>
      </w:r>
    </w:p>
    <w:p>
      <w:pPr>
        <w:pStyle w:val="ListBullet"/>
      </w:pPr>
      <w:r>
        <w:rPr>
          <w:rFonts w:ascii="Calibri" w:hAnsi="Calibri"/>
          <w:b w:val="0"/>
          <w:sz w:val="22"/>
        </w:rPr>
        <w:t>Respond to enquiries and messages.</w:t>
      </w:r>
    </w:p>
    <w:p>
      <w:pPr>
        <w:pStyle w:val="ListBullet"/>
      </w:pPr>
      <w:r>
        <w:rPr>
          <w:rFonts w:ascii="Calibri" w:hAnsi="Calibri"/>
          <w:b w:val="0"/>
          <w:sz w:val="22"/>
        </w:rPr>
        <w:t>Manage bookings, consultations, events, training enquiries and service requests.</w:t>
      </w:r>
    </w:p>
    <w:p>
      <w:pPr>
        <w:pStyle w:val="ListBullet"/>
      </w:pPr>
      <w:r>
        <w:rPr>
          <w:rFonts w:ascii="Calibri" w:hAnsi="Calibri"/>
          <w:b w:val="0"/>
          <w:sz w:val="22"/>
        </w:rPr>
        <w:t>Provide HR, payroll, AI adoption, career support, training and related services.</w:t>
      </w:r>
    </w:p>
    <w:p>
      <w:pPr>
        <w:pStyle w:val="ListBullet"/>
      </w:pPr>
      <w:r>
        <w:rPr>
          <w:rFonts w:ascii="Calibri" w:hAnsi="Calibri"/>
          <w:b w:val="0"/>
          <w:sz w:val="22"/>
        </w:rPr>
        <w:t>Send confirmations, reminders, follow-ups and service communications.</w:t>
      </w:r>
    </w:p>
    <w:p>
      <w:pPr>
        <w:pStyle w:val="ListBullet"/>
      </w:pPr>
      <w:r>
        <w:rPr>
          <w:rFonts w:ascii="Calibri" w:hAnsi="Calibri"/>
          <w:b w:val="0"/>
          <w:sz w:val="22"/>
        </w:rPr>
        <w:t>Process payments, invoices and business records.</w:t>
      </w:r>
    </w:p>
    <w:p>
      <w:pPr>
        <w:pStyle w:val="ListBullet"/>
      </w:pPr>
      <w:r>
        <w:rPr>
          <w:rFonts w:ascii="Calibri" w:hAnsi="Calibri"/>
          <w:b w:val="0"/>
          <w:sz w:val="22"/>
        </w:rPr>
        <w:t>Improve our website, services, training content and customer experience.</w:t>
      </w:r>
    </w:p>
    <w:p>
      <w:pPr>
        <w:pStyle w:val="ListBullet"/>
      </w:pPr>
      <w:r>
        <w:rPr>
          <w:rFonts w:ascii="Calibri" w:hAnsi="Calibri"/>
          <w:b w:val="0"/>
          <w:sz w:val="22"/>
        </w:rPr>
        <w:t>Send marketing updates where you have consented or where we have a legitimate business reason to contact you.</w:t>
      </w:r>
    </w:p>
    <w:p>
      <w:pPr>
        <w:pStyle w:val="ListBullet"/>
      </w:pPr>
      <w:r>
        <w:rPr>
          <w:rFonts w:ascii="Calibri" w:hAnsi="Calibri"/>
          <w:b w:val="0"/>
          <w:sz w:val="22"/>
        </w:rPr>
        <w:t>Meet legal, accounting, tax and regulatory obligations.</w:t>
      </w:r>
    </w:p>
    <w:p>
      <w:pPr>
        <w:pStyle w:val="ListBullet"/>
      </w:pPr>
      <w:r>
        <w:rPr>
          <w:rFonts w:ascii="Calibri" w:hAnsi="Calibri"/>
          <w:b w:val="0"/>
          <w:sz w:val="22"/>
        </w:rPr>
        <w:t>Protect our website, business and users from misuse, fraud or security risks.</w:t>
      </w:r>
    </w:p>
    <w:p>
      <w:pPr>
        <w:pStyle w:val="Heading1"/>
      </w:pPr>
      <w:r>
        <w:t>4. Lawful basis for processing</w:t>
      </w:r>
    </w:p>
    <w:p>
      <w:pPr>
        <w:spacing w:after="120" w:line="264" w:lineRule="auto"/>
      </w:pPr>
      <w:r>
        <w:rPr>
          <w:rFonts w:ascii="Calibri" w:hAnsi="Calibri"/>
          <w:b w:val="0"/>
          <w:sz w:val="22"/>
        </w:rPr>
        <w:t>We rely on one or more of the following lawful bases under UK GDPR:</w:t>
      </w:r>
    </w:p>
    <w:p>
      <w:pPr>
        <w:pStyle w:val="ListBullet"/>
      </w:pPr>
      <w:r>
        <w:rPr>
          <w:rFonts w:ascii="Calibri" w:hAnsi="Calibri"/>
          <w:b w:val="0"/>
          <w:sz w:val="22"/>
        </w:rPr>
        <w:t>Contract or pre-contract steps: to respond to your request, manage bookings, provide services or process purchases.</w:t>
      </w:r>
    </w:p>
    <w:p>
      <w:pPr>
        <w:pStyle w:val="ListBullet"/>
      </w:pPr>
      <w:r>
        <w:rPr>
          <w:rFonts w:ascii="Calibri" w:hAnsi="Calibri"/>
          <w:b w:val="0"/>
          <w:sz w:val="22"/>
        </w:rPr>
        <w:t>Legitimate interests: to operate and improve our business, respond to enquiries, manage client relationships and protect our website.</w:t>
      </w:r>
    </w:p>
    <w:p>
      <w:pPr>
        <w:pStyle w:val="ListBullet"/>
      </w:pPr>
      <w:r>
        <w:rPr>
          <w:rFonts w:ascii="Calibri" w:hAnsi="Calibri"/>
          <w:b w:val="0"/>
          <w:sz w:val="22"/>
        </w:rPr>
        <w:t>Consent: for optional marketing, non-essential cookies or other activities where consent is required.</w:t>
      </w:r>
    </w:p>
    <w:p>
      <w:pPr>
        <w:pStyle w:val="ListBullet"/>
      </w:pPr>
      <w:r>
        <w:rPr>
          <w:rFonts w:ascii="Calibri" w:hAnsi="Calibri"/>
          <w:b w:val="0"/>
          <w:sz w:val="22"/>
        </w:rPr>
        <w:t>Legal obligation: for accounting, tax, compliance, safeguarding, regulatory or legal requirements.</w:t>
      </w:r>
    </w:p>
    <w:p>
      <w:pPr>
        <w:pStyle w:val="Heading1"/>
      </w:pPr>
      <w:r>
        <w:t>5. Who we share data with</w:t>
      </w:r>
    </w:p>
    <w:p>
      <w:pPr>
        <w:spacing w:after="120" w:line="264" w:lineRule="auto"/>
      </w:pPr>
      <w:r>
        <w:rPr>
          <w:rFonts w:ascii="Calibri" w:hAnsi="Calibri"/>
          <w:b w:val="0"/>
          <w:sz w:val="22"/>
        </w:rPr>
        <w:t>We do not sell your personal data.</w:t>
      </w:r>
    </w:p>
    <w:p>
      <w:pPr>
        <w:spacing w:after="120" w:line="264" w:lineRule="auto"/>
      </w:pPr>
      <w:r>
        <w:rPr>
          <w:rFonts w:ascii="Calibri" w:hAnsi="Calibri"/>
          <w:b w:val="0"/>
          <w:sz w:val="22"/>
        </w:rPr>
        <w:t>We may share personal data only where necessary with:</w:t>
      </w:r>
    </w:p>
    <w:p>
      <w:pPr>
        <w:pStyle w:val="ListBullet"/>
      </w:pPr>
      <w:r>
        <w:rPr>
          <w:rFonts w:ascii="Calibri" w:hAnsi="Calibri"/>
          <w:b w:val="0"/>
          <w:sz w:val="22"/>
        </w:rPr>
        <w:t>Website, hosting, forms, chat, booking and customer management providers, including Wix services used to operate this website.</w:t>
      </w:r>
    </w:p>
    <w:p>
      <w:pPr>
        <w:pStyle w:val="ListBullet"/>
      </w:pPr>
      <w:r>
        <w:rPr>
          <w:rFonts w:ascii="Calibri" w:hAnsi="Calibri"/>
          <w:b w:val="0"/>
          <w:sz w:val="22"/>
        </w:rPr>
        <w:t>Payment, invoicing and accounting providers.</w:t>
      </w:r>
    </w:p>
    <w:p>
      <w:pPr>
        <w:pStyle w:val="ListBullet"/>
      </w:pPr>
      <w:r>
        <w:rPr>
          <w:rFonts w:ascii="Calibri" w:hAnsi="Calibri"/>
          <w:b w:val="0"/>
          <w:sz w:val="22"/>
        </w:rPr>
        <w:t>Email, calendar and communication tools used to respond to enquiries and manage bookings.</w:t>
      </w:r>
    </w:p>
    <w:p>
      <w:pPr>
        <w:pStyle w:val="ListBullet"/>
      </w:pPr>
      <w:r>
        <w:rPr>
          <w:rFonts w:ascii="Calibri" w:hAnsi="Calibri"/>
          <w:b w:val="0"/>
          <w:sz w:val="22"/>
        </w:rPr>
        <w:t>Analytics and cookie tools, where enabled and permitted.</w:t>
      </w:r>
    </w:p>
    <w:p>
      <w:pPr>
        <w:pStyle w:val="ListBullet"/>
      </w:pPr>
      <w:r>
        <w:rPr>
          <w:rFonts w:ascii="Calibri" w:hAnsi="Calibri"/>
          <w:b w:val="0"/>
          <w:sz w:val="22"/>
        </w:rPr>
        <w:t>Professional advisers, such as accountants, legal advisers or compliance consultants.</w:t>
      </w:r>
    </w:p>
    <w:p>
      <w:pPr>
        <w:pStyle w:val="ListBullet"/>
      </w:pPr>
      <w:r>
        <w:rPr>
          <w:rFonts w:ascii="Calibri" w:hAnsi="Calibri"/>
          <w:b w:val="0"/>
          <w:sz w:val="22"/>
        </w:rPr>
        <w:t>Public authorities, regulators or legal bodies where required by law.</w:t>
      </w:r>
    </w:p>
    <w:p>
      <w:pPr>
        <w:spacing w:after="120" w:line="264" w:lineRule="auto"/>
      </w:pPr>
      <w:r>
        <w:rPr>
          <w:rFonts w:ascii="Calibri" w:hAnsi="Calibri"/>
          <w:b w:val="0"/>
          <w:sz w:val="22"/>
        </w:rPr>
        <w:t>Where third-party providers process personal data for us, we expect them to protect it and use it only for the agreed purpose.</w:t>
      </w:r>
    </w:p>
    <w:p>
      <w:pPr>
        <w:pStyle w:val="Heading1"/>
      </w:pPr>
      <w:r>
        <w:t>6. International transfers</w:t>
      </w:r>
    </w:p>
    <w:p>
      <w:pPr>
        <w:spacing w:after="120" w:line="264" w:lineRule="auto"/>
      </w:pPr>
      <w:r>
        <w:rPr>
          <w:rFonts w:ascii="Calibri" w:hAnsi="Calibri"/>
          <w:b w:val="0"/>
          <w:sz w:val="22"/>
        </w:rPr>
        <w:t>Some service providers may process data outside the United Kingdom. Where this happens, we expect appropriate safeguards to be in place, such as contractual protections, adequacy arrangements or other lawful transfer mechanisms.</w:t>
      </w:r>
    </w:p>
    <w:p>
      <w:pPr>
        <w:pStyle w:val="Heading1"/>
      </w:pPr>
      <w:r>
        <w:t>7. Data retention</w:t>
      </w:r>
    </w:p>
    <w:p>
      <w:pPr>
        <w:spacing w:after="120" w:line="264" w:lineRule="auto"/>
      </w:pPr>
      <w:r>
        <w:rPr>
          <w:rFonts w:ascii="Calibri" w:hAnsi="Calibri"/>
          <w:b w:val="0"/>
          <w:sz w:val="22"/>
        </w:rPr>
        <w:t>We keep personal data only for as long as necessary for the purpose it was collected.</w:t>
      </w:r>
    </w:p>
    <w:p>
      <w:pPr>
        <w:spacing w:after="120" w:line="264" w:lineRule="auto"/>
      </w:pPr>
      <w:r>
        <w:rPr>
          <w:rFonts w:ascii="Calibri" w:hAnsi="Calibri"/>
          <w:b w:val="0"/>
          <w:sz w:val="22"/>
        </w:rPr>
        <w:t>Typical retention periods include:</w:t>
      </w:r>
    </w:p>
    <w:p>
      <w:pPr>
        <w:pStyle w:val="ListBullet"/>
      </w:pPr>
      <w:r>
        <w:rPr>
          <w:rFonts w:ascii="Calibri" w:hAnsi="Calibri"/>
          <w:b w:val="0"/>
          <w:sz w:val="22"/>
        </w:rPr>
        <w:t>Enquiries and contact form messages: up to 24 months after the last meaningful contact, unless they become part of a client relationship.</w:t>
      </w:r>
    </w:p>
    <w:p>
      <w:pPr>
        <w:pStyle w:val="ListBullet"/>
      </w:pPr>
      <w:r>
        <w:rPr>
          <w:rFonts w:ascii="Calibri" w:hAnsi="Calibri"/>
          <w:b w:val="0"/>
          <w:sz w:val="22"/>
        </w:rPr>
        <w:t>Client, booking and service records: for the duration of the relationship and for a reasonable period afterwards for legal, tax and business record purposes.</w:t>
      </w:r>
    </w:p>
    <w:p>
      <w:pPr>
        <w:pStyle w:val="ListBullet"/>
      </w:pPr>
      <w:r>
        <w:rPr>
          <w:rFonts w:ascii="Calibri" w:hAnsi="Calibri"/>
          <w:b w:val="0"/>
          <w:sz w:val="22"/>
        </w:rPr>
        <w:t>Financial records: for as long as required by accounting and tax rules.</w:t>
      </w:r>
    </w:p>
    <w:p>
      <w:pPr>
        <w:pStyle w:val="ListBullet"/>
      </w:pPr>
      <w:r>
        <w:rPr>
          <w:rFonts w:ascii="Calibri" w:hAnsi="Calibri"/>
          <w:b w:val="0"/>
          <w:sz w:val="22"/>
        </w:rPr>
        <w:t>Marketing data: until you unsubscribe, withdraw consent or ask us to stop contacting you.</w:t>
      </w:r>
    </w:p>
    <w:p>
      <w:pPr>
        <w:pStyle w:val="ListBullet"/>
      </w:pPr>
      <w:r>
        <w:rPr>
          <w:rFonts w:ascii="Calibri" w:hAnsi="Calibri"/>
          <w:b w:val="0"/>
          <w:sz w:val="22"/>
        </w:rPr>
        <w:t>Website analytics and cookie data: according to the relevant cookie settings and provider retention periods.</w:t>
      </w:r>
    </w:p>
    <w:p>
      <w:pPr>
        <w:pStyle w:val="Heading1"/>
      </w:pPr>
      <w:r>
        <w:t>8. Your rights</w:t>
      </w:r>
    </w:p>
    <w:p>
      <w:pPr>
        <w:spacing w:after="120" w:line="264" w:lineRule="auto"/>
      </w:pPr>
      <w:r>
        <w:rPr>
          <w:rFonts w:ascii="Calibri" w:hAnsi="Calibri"/>
          <w:b w:val="0"/>
          <w:sz w:val="22"/>
        </w:rPr>
        <w:t>Under UK GDPR, you have rights over your personal data, including:</w:t>
      </w:r>
    </w:p>
    <w:p>
      <w:pPr>
        <w:pStyle w:val="ListBullet"/>
      </w:pPr>
      <w:r>
        <w:rPr>
          <w:rFonts w:ascii="Calibri" w:hAnsi="Calibri"/>
          <w:b w:val="0"/>
          <w:sz w:val="22"/>
        </w:rPr>
        <w:t>The right to access your personal data.</w:t>
      </w:r>
    </w:p>
    <w:p>
      <w:pPr>
        <w:pStyle w:val="ListBullet"/>
      </w:pPr>
      <w:r>
        <w:rPr>
          <w:rFonts w:ascii="Calibri" w:hAnsi="Calibri"/>
          <w:b w:val="0"/>
          <w:sz w:val="22"/>
        </w:rPr>
        <w:t>The right to correct inaccurate or incomplete data.</w:t>
      </w:r>
    </w:p>
    <w:p>
      <w:pPr>
        <w:pStyle w:val="ListBullet"/>
      </w:pPr>
      <w:r>
        <w:rPr>
          <w:rFonts w:ascii="Calibri" w:hAnsi="Calibri"/>
          <w:b w:val="0"/>
          <w:sz w:val="22"/>
        </w:rPr>
        <w:t>The right to request deletion where there is no legal reason for us to keep it.</w:t>
      </w:r>
    </w:p>
    <w:p>
      <w:pPr>
        <w:pStyle w:val="ListBullet"/>
      </w:pPr>
      <w:r>
        <w:rPr>
          <w:rFonts w:ascii="Calibri" w:hAnsi="Calibri"/>
          <w:b w:val="0"/>
          <w:sz w:val="22"/>
        </w:rPr>
        <w:t>The right to restrict or object to certain processing.</w:t>
      </w:r>
    </w:p>
    <w:p>
      <w:pPr>
        <w:pStyle w:val="ListBullet"/>
      </w:pPr>
      <w:r>
        <w:rPr>
          <w:rFonts w:ascii="Calibri" w:hAnsi="Calibri"/>
          <w:b w:val="0"/>
          <w:sz w:val="22"/>
        </w:rPr>
        <w:t>The right to data portability where applicable.</w:t>
      </w:r>
    </w:p>
    <w:p>
      <w:pPr>
        <w:pStyle w:val="ListBullet"/>
      </w:pPr>
      <w:r>
        <w:rPr>
          <w:rFonts w:ascii="Calibri" w:hAnsi="Calibri"/>
          <w:b w:val="0"/>
          <w:sz w:val="22"/>
        </w:rPr>
        <w:t>The right to withdraw consent where processing is based on consent.</w:t>
      </w:r>
    </w:p>
    <w:p>
      <w:pPr>
        <w:pStyle w:val="ListBullet"/>
      </w:pPr>
      <w:r>
        <w:rPr>
          <w:rFonts w:ascii="Calibri" w:hAnsi="Calibri"/>
          <w:b w:val="0"/>
          <w:sz w:val="22"/>
        </w:rPr>
        <w:t>The right not to be subject to solely automated decisions with legal or similarly significant effects.</w:t>
      </w:r>
    </w:p>
    <w:p>
      <w:pPr>
        <w:spacing w:after="120" w:line="264" w:lineRule="auto"/>
      </w:pPr>
      <w:r>
        <w:rPr>
          <w:rFonts w:ascii="Calibri" w:hAnsi="Calibri"/>
          <w:b w:val="0"/>
          <w:sz w:val="22"/>
        </w:rPr>
        <w:t>To exercise your rights, email info@hrnexus.ai. We will respond in line with UK data protection law.</w:t>
      </w:r>
    </w:p>
    <w:p>
      <w:pPr>
        <w:pStyle w:val="Heading1"/>
      </w:pPr>
      <w:r>
        <w:t>9. Security</w:t>
      </w:r>
    </w:p>
    <w:p>
      <w:pPr>
        <w:spacing w:after="120" w:line="264" w:lineRule="auto"/>
      </w:pPr>
      <w:r>
        <w:rPr>
          <w:rFonts w:ascii="Calibri" w:hAnsi="Calibri"/>
          <w:b w:val="0"/>
          <w:sz w:val="22"/>
        </w:rPr>
        <w:t>We use reasonable technical and organisational measures to protect personal data, including secure website access, access controls, trusted service providers and careful handling of client and enquiry information.</w:t>
      </w:r>
    </w:p>
    <w:p>
      <w:pPr>
        <w:spacing w:after="120" w:line="264" w:lineRule="auto"/>
      </w:pPr>
      <w:r>
        <w:rPr>
          <w:rFonts w:ascii="Calibri" w:hAnsi="Calibri"/>
          <w:b w:val="0"/>
          <w:sz w:val="22"/>
        </w:rPr>
        <w:t>No online service can be guaranteed to be completely secure, but we take data protection seriously and review our practices as the business develops.</w:t>
      </w:r>
    </w:p>
    <w:p>
      <w:pPr>
        <w:pStyle w:val="Heading1"/>
      </w:pPr>
      <w:r>
        <w:t>10. Cookies</w:t>
      </w:r>
    </w:p>
    <w:p>
      <w:pPr>
        <w:spacing w:after="120" w:line="264" w:lineRule="auto"/>
      </w:pPr>
      <w:r>
        <w:rPr>
          <w:rFonts w:ascii="Calibri" w:hAnsi="Calibri"/>
          <w:b w:val="0"/>
          <w:sz w:val="22"/>
        </w:rPr>
        <w:t>We use cookies and similar technologies on our website. Please see our Cookie Policy for more information.</w:t>
      </w:r>
    </w:p>
    <w:p>
      <w:pPr>
        <w:pStyle w:val="Heading1"/>
      </w:pPr>
      <w:r>
        <w:t>11. Complaints</w:t>
      </w:r>
    </w:p>
    <w:p>
      <w:pPr>
        <w:spacing w:after="120" w:line="264" w:lineRule="auto"/>
      </w:pPr>
      <w:r>
        <w:rPr>
          <w:rFonts w:ascii="Calibri" w:hAnsi="Calibri"/>
          <w:b w:val="0"/>
          <w:sz w:val="22"/>
        </w:rPr>
        <w:t>If you have a concern about how we use your data, please contact us first at info@hrnexus.ai so we can try to resolve it.</w:t>
      </w:r>
    </w:p>
    <w:p>
      <w:pPr>
        <w:spacing w:after="120" w:line="264" w:lineRule="auto"/>
      </w:pPr>
      <w:r>
        <w:rPr>
          <w:rFonts w:ascii="Calibri" w:hAnsi="Calibri"/>
          <w:b w:val="0"/>
          <w:sz w:val="22"/>
        </w:rPr>
        <w:t>You also have the right to complain to the UK's data protection regulator:</w:t>
      </w:r>
    </w:p>
    <w:p>
      <w:pPr>
        <w:spacing w:after="120" w:line="264" w:lineRule="auto"/>
      </w:pPr>
      <w:r>
        <w:rPr>
          <w:rFonts w:ascii="Calibri" w:hAnsi="Calibri"/>
          <w:b w:val="0"/>
          <w:sz w:val="22"/>
        </w:rPr>
        <w:t>Information Commissioner's Office (ICO)</w:t>
      </w:r>
    </w:p>
    <w:p>
      <w:pPr>
        <w:spacing w:after="120" w:line="264" w:lineRule="auto"/>
      </w:pPr>
      <w:r>
        <w:rPr>
          <w:rFonts w:ascii="Calibri" w:hAnsi="Calibri"/>
          <w:b w:val="0"/>
          <w:sz w:val="22"/>
        </w:rPr>
        <w:t>Website: ico.org.uk</w:t>
      </w:r>
    </w:p>
    <w:p>
      <w:pPr>
        <w:spacing w:after="120" w:line="264" w:lineRule="auto"/>
      </w:pPr>
      <w:r>
        <w:rPr>
          <w:rFonts w:ascii="Calibri" w:hAnsi="Calibri"/>
          <w:b w:val="0"/>
          <w:sz w:val="22"/>
        </w:rPr>
        <w:t>Phone: 0303 123 1113</w:t>
      </w:r>
    </w:p>
    <w:p>
      <w:pPr>
        <w:spacing w:after="120" w:line="264" w:lineRule="auto"/>
      </w:pPr>
      <w:r>
        <w:rPr>
          <w:rFonts w:ascii="Calibri" w:hAnsi="Calibri"/>
          <w:b w:val="0"/>
          <w:sz w:val="22"/>
        </w:rPr>
        <w:t>Address: Wycliffe House, Water Lane, Wilmslow, Cheshire, SK9 5AF</w:t>
      </w:r>
    </w:p>
    <w:p>
      <w:pPr>
        <w:pStyle w:val="Heading1"/>
      </w:pPr>
      <w:r>
        <w:t>12. Changes to this policy</w:t>
      </w:r>
    </w:p>
    <w:p>
      <w:pPr>
        <w:spacing w:after="120" w:line="264" w:lineRule="auto"/>
      </w:pPr>
      <w:r>
        <w:rPr>
          <w:rFonts w:ascii="Calibri" w:hAnsi="Calibri"/>
          <w:b w:val="0"/>
          <w:sz w:val="22"/>
        </w:rPr>
        <w:t>We may update this Privacy Policy from time to time. The latest version will be available on this website.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color w:val="666666"/>
        <w:sz w:val="18"/>
      </w:rPr>
      <w:t>Last updated: 19 July 2026 | www.hrnexus.ai | info@hrnexus.ai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val="0"/>
        <w:color w:val="666666"/>
        <w:sz w:val="18"/>
      </w:rPr>
      <w:t>HRnexus AI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64"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64"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64"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